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u w:color="000000"/>
          <w:rtl w:val="0"/>
          <w:lang w:val="en-US"/>
        </w:rPr>
      </w:pPr>
      <w:r>
        <w:rPr>
          <w:rFonts w:ascii="Helvetica" w:cs="Helvetica" w:hAnsi="Helvetica" w:eastAsia="Helvetica"/>
          <w:u w:color="000000"/>
          <w:rtl w:val="0"/>
          <w:lang w:val="en-US"/>
        </w:rPr>
        <w:t>NAME_______________________________________________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Earth Science</w:t>
        <w:tab/>
        <w:tab/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Minerals of Earth's Crust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ab/>
        <w:tab/>
        <w:t>(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 xml:space="preserve">Chapter 5 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  <w:t>AS YOU READ, RESPOND TO THE FOLLOWING: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Vocabulary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:  </w:t>
      </w:r>
      <w:r>
        <w:rPr>
          <w:rFonts w:ascii="Calibri" w:cs="Calibri" w:hAnsi="Calibri" w:eastAsia="Calibri"/>
          <w:b w:val="1"/>
          <w:bCs w:val="1"/>
          <w:u w:val="single" w:color="000000"/>
          <w:rtl w:val="0"/>
          <w:lang w:val="en-US"/>
        </w:rPr>
        <w:t>Define in your own words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Mineral-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Silicate mineral-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Non-silicate mineral-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Crystal-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Silicon-oxygen tetrahedron-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Mineralogist-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Streak-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Luster-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Cleavage-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Fracture-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Mohs Hardness Scale-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Respond to the following: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Describe three common non-silicate crystalline structures.  Give three examples of minerals that display non-silicate crystalline structures as well.  (4 pts)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Identify the six types of silicate crystalline structures.  (1 pt)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Describe seven physical properties that help distinguish one mineral from another.   Give an example of a situation where each of these physical properties are helpful in identifying a particular mineral.  (7 pts)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Describe five 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>special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properties that may help identify certain minerals.  Give an example of a situation where each of these special properties are helpful in identifying a particular mineral.  (5 pts)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color w:val="000000"/>
          <w:u w:color="000000"/>
          <w:rtl w:val="0"/>
          <w:lang w:val="en-US"/>
        </w:rPr>
      </w:pPr>
      <w:r>
        <w:rPr>
          <w:rFonts w:ascii="Calibri"/>
          <w:b w:val="1"/>
          <w:bCs w:val="1"/>
          <w:i w:val="1"/>
          <w:iCs w:val="1"/>
          <w:u w:val="single" w:color="000000"/>
          <w:rtl w:val="0"/>
          <w:lang w:val="en-US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Minerals</w:t>
      </w: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the Mohs hardness scale is a scale that measures how "hard" a mineral is and that a diamond is the hardest mineral on that scale.  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Assigned work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: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 pg. 117, Chapter 5 Review:  30-32 and 35-37</w:t>
      </w: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